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BE1" w:rsidRDefault="001A7BE1" w:rsidP="001A7BE1">
      <w:pPr>
        <w:widowControl/>
        <w:spacing w:line="576" w:lineRule="exact"/>
        <w:rPr>
          <w:rFonts w:ascii="黑体" w:eastAsia="黑体" w:hAnsi="黑体" w:cs="黑体" w:hint="eastAsia"/>
        </w:rPr>
      </w:pPr>
      <w:r>
        <w:rPr>
          <w:rFonts w:ascii="黑体" w:eastAsia="黑体" w:hAnsi="黑体" w:cs="黑体" w:hint="eastAsia"/>
        </w:rPr>
        <w:t>附件</w:t>
      </w:r>
    </w:p>
    <w:p w:rsidR="001A7BE1" w:rsidRDefault="001A7BE1" w:rsidP="001A7BE1">
      <w:pPr>
        <w:widowControl/>
        <w:spacing w:line="576" w:lineRule="exact"/>
        <w:rPr>
          <w:rFonts w:ascii="黑体" w:eastAsia="黑体" w:hAnsi="黑体" w:cs="黑体" w:hint="eastAsia"/>
        </w:rPr>
      </w:pPr>
    </w:p>
    <w:p w:rsidR="001A7BE1" w:rsidRDefault="001A7BE1" w:rsidP="001A7BE1">
      <w:pPr>
        <w:widowControl/>
        <w:spacing w:line="576" w:lineRule="exact"/>
        <w:rPr>
          <w:rFonts w:ascii="方正小标宋简体" w:eastAsia="方正小标宋简体" w:hAnsi="方正小标宋简体" w:cs="方正小标宋简体" w:hint="eastAsia"/>
          <w:w w:val="95"/>
          <w:sz w:val="44"/>
          <w:szCs w:val="44"/>
        </w:rPr>
      </w:pPr>
      <w:r>
        <w:rPr>
          <w:rFonts w:ascii="方正小标宋简体" w:eastAsia="方正小标宋简体" w:hAnsi="方正小标宋简体" w:cs="方正小标宋简体" w:hint="eastAsia"/>
          <w:w w:val="95"/>
          <w:sz w:val="44"/>
          <w:szCs w:val="44"/>
        </w:rPr>
        <w:t>《德令哈市全民健身实施计划（2016—2020年）》</w:t>
      </w:r>
    </w:p>
    <w:p w:rsidR="001A7BE1" w:rsidRDefault="001A7BE1" w:rsidP="001A7BE1">
      <w:pPr>
        <w:widowControl/>
        <w:spacing w:line="576" w:lineRule="exact"/>
        <w:jc w:val="center"/>
        <w:rPr>
          <w:rFonts w:ascii="方正小标宋简体" w:eastAsia="方正小标宋简体" w:hAnsi="方正小标宋简体" w:cs="方正小标宋简体" w:hint="eastAsia"/>
          <w:b/>
          <w:bCs/>
          <w:w w:val="95"/>
          <w:sz w:val="44"/>
          <w:szCs w:val="44"/>
        </w:rPr>
      </w:pPr>
      <w:r>
        <w:rPr>
          <w:rFonts w:ascii="方正小标宋简体" w:eastAsia="方正小标宋简体" w:hAnsi="方正小标宋简体" w:cs="方正小标宋简体" w:hint="eastAsia"/>
          <w:w w:val="95"/>
          <w:sz w:val="44"/>
          <w:szCs w:val="44"/>
        </w:rPr>
        <w:t>重点任务分工</w:t>
      </w:r>
    </w:p>
    <w:tbl>
      <w:tblPr>
        <w:tblpPr w:leftFromText="180" w:rightFromText="180" w:vertAnchor="text" w:horzAnchor="margin" w:tblpY="14"/>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4568"/>
        <w:gridCol w:w="1486"/>
        <w:gridCol w:w="2310"/>
      </w:tblGrid>
      <w:tr w:rsidR="001A7BE1" w:rsidTr="002144A6">
        <w:trPr>
          <w:trHeight w:val="318"/>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36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序号</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36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工作任务</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36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责任部门</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36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时间进度</w:t>
            </w:r>
          </w:p>
        </w:tc>
      </w:tr>
      <w:tr w:rsidR="001A7BE1" w:rsidTr="002144A6">
        <w:trPr>
          <w:trHeight w:val="1029"/>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w:t>
            </w:r>
            <w:r>
              <w:rPr>
                <w:rFonts w:ascii="仿宋_GB2312" w:eastAsia="仿宋_GB2312" w:hint="eastAsia"/>
                <w:sz w:val="24"/>
                <w:szCs w:val="24"/>
              </w:rPr>
              <w:t>城乡居民体育健身意识和科学健身素养普遍增强，体育健身成为更多人的基本生活方式。包括在校学生、驻地部队等每周参加1次及以上体育锻炼人口的比例达到35%以上</w:t>
            </w:r>
            <w:r>
              <w:rPr>
                <w:rFonts w:ascii="仿宋_GB2312" w:eastAsia="仿宋_GB2312" w:hAnsi="仿宋_GB2312" w:cs="仿宋_GB2312" w:hint="eastAsia"/>
                <w:sz w:val="24"/>
                <w:szCs w:val="24"/>
              </w:rPr>
              <w:t>。</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市文体广电局、市人武部、市教育科技局、市全民健身联席会议成员单位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2242"/>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ind w:firstLineChars="200" w:firstLine="47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各乡镇全民健身广场、行政村及社区、寺院健身路径覆盖率达到100%，学校体育场设施与健身器材配置达标率达到100%。改善各类公共体育设施的无障碍条件，全面开放体育系统的体育设施，实现体育资源社会共享。在全市建立一批功能完善、能承接高水平竞赛和大型群众体育活动的公共体育场馆和设施。</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w:t>
            </w:r>
            <w:proofErr w:type="gramStart"/>
            <w:r>
              <w:rPr>
                <w:rFonts w:ascii="仿宋_GB2312" w:eastAsia="仿宋_GB2312" w:hAnsi="仿宋_GB2312" w:cs="仿宋_GB2312" w:hint="eastAsia"/>
                <w:sz w:val="24"/>
                <w:szCs w:val="24"/>
              </w:rPr>
              <w:t>市发改委</w:t>
            </w:r>
            <w:proofErr w:type="gramEnd"/>
            <w:r>
              <w:rPr>
                <w:rFonts w:ascii="仿宋_GB2312" w:eastAsia="仿宋_GB2312" w:hAnsi="仿宋_GB2312" w:cs="仿宋_GB2312" w:hint="eastAsia"/>
                <w:sz w:val="24"/>
                <w:szCs w:val="24"/>
              </w:rPr>
              <w:t>、市财政局、市教育局、市民宗局、各乡镇街道办事处</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年内出台《德令哈市全民健身实施计划（2016—2020年）》及考核评价体系，分年度实施</w:t>
            </w:r>
          </w:p>
        </w:tc>
      </w:tr>
      <w:tr w:rsidR="001A7BE1" w:rsidTr="002144A6">
        <w:trPr>
          <w:trHeight w:val="1193"/>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完善职业、业余体育竞赛体系，鼓励企业举办商业性、群众性体育比赛，推进与社会组织联办运动项目，大力发展多层次、多样化的各类体育赛事活动。</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4861"/>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adjustRightInd w:val="0"/>
              <w:snapToGrid w:val="0"/>
              <w:spacing w:line="240" w:lineRule="exact"/>
              <w:ind w:firstLineChars="200" w:firstLine="47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发挥民族团结杯足球比赛、</w:t>
            </w:r>
            <w:proofErr w:type="gramStart"/>
            <w:r>
              <w:rPr>
                <w:rFonts w:ascii="仿宋_GB2312" w:eastAsia="仿宋_GB2312" w:hAnsi="仿宋_GB2312" w:cs="仿宋_GB2312" w:hint="eastAsia"/>
                <w:sz w:val="24"/>
                <w:szCs w:val="24"/>
              </w:rPr>
              <w:t>阿力腾夏嘎牧民</w:t>
            </w:r>
            <w:proofErr w:type="gramEnd"/>
            <w:r>
              <w:rPr>
                <w:rFonts w:ascii="仿宋_GB2312" w:eastAsia="仿宋_GB2312" w:hAnsi="仿宋_GB2312" w:cs="仿宋_GB2312" w:hint="eastAsia"/>
                <w:sz w:val="24"/>
                <w:szCs w:val="24"/>
              </w:rPr>
              <w:t>篮球赛、马文化艺术节、环城赛、中国·青海柴达</w:t>
            </w:r>
            <w:proofErr w:type="gramStart"/>
            <w:r>
              <w:rPr>
                <w:rFonts w:ascii="仿宋_GB2312" w:eastAsia="仿宋_GB2312" w:hAnsi="仿宋_GB2312" w:cs="仿宋_GB2312" w:hint="eastAsia"/>
                <w:sz w:val="24"/>
                <w:szCs w:val="24"/>
              </w:rPr>
              <w:t>木环情人湖</w:t>
            </w:r>
            <w:proofErr w:type="gramEnd"/>
            <w:r>
              <w:rPr>
                <w:rFonts w:ascii="仿宋_GB2312" w:eastAsia="仿宋_GB2312" w:hAnsi="仿宋_GB2312" w:cs="仿宋_GB2312" w:hint="eastAsia"/>
                <w:sz w:val="24"/>
                <w:szCs w:val="24"/>
              </w:rPr>
              <w:t>徒步活动等</w:t>
            </w:r>
            <w:proofErr w:type="gramStart"/>
            <w:r>
              <w:rPr>
                <w:rFonts w:ascii="仿宋_GB2312" w:eastAsia="仿宋_GB2312" w:hAnsi="仿宋_GB2312" w:cs="仿宋_GB2312" w:hint="eastAsia"/>
                <w:sz w:val="24"/>
                <w:szCs w:val="24"/>
              </w:rPr>
              <w:t>品牌赛事</w:t>
            </w:r>
            <w:proofErr w:type="gramEnd"/>
            <w:r>
              <w:rPr>
                <w:rFonts w:ascii="仿宋_GB2312" w:eastAsia="仿宋_GB2312" w:hAnsi="仿宋_GB2312" w:cs="仿宋_GB2312" w:hint="eastAsia"/>
                <w:sz w:val="24"/>
                <w:szCs w:val="24"/>
              </w:rPr>
              <w:t>的拉动和辐射作用，倡导“一村一品”、“一会一品”、“一行一品”、“一校一品”。大力推广市场接受度高、简便易行的台球、健美操、广场舞、健步走、棋类、游泳等体育健身活动。积极探索足球、篮球、羽毛球、网球、乒乓球、自行车、跆拳道、拳击、武术、射击、射箭、太极、瑜伽、</w:t>
            </w:r>
            <w:proofErr w:type="gramStart"/>
            <w:r>
              <w:rPr>
                <w:rFonts w:ascii="仿宋_GB2312" w:eastAsia="仿宋_GB2312" w:hAnsi="仿宋_GB2312" w:cs="仿宋_GB2312" w:hint="eastAsia"/>
                <w:sz w:val="24"/>
                <w:szCs w:val="24"/>
              </w:rPr>
              <w:t>蒙古族安代舞</w:t>
            </w:r>
            <w:proofErr w:type="gramEnd"/>
            <w:r>
              <w:rPr>
                <w:rFonts w:ascii="仿宋_GB2312" w:eastAsia="仿宋_GB2312" w:hAnsi="仿宋_GB2312" w:cs="仿宋_GB2312" w:hint="eastAsia"/>
                <w:sz w:val="24"/>
                <w:szCs w:val="24"/>
              </w:rPr>
              <w:t>、藏族锅庄舞等具有较强社会影响力和市场发展潜力的运动项目，引导各乡镇及街道办事处举办不同层次和类型的全民健身赛事活动。支持各地区和机关团体、企事业单位、学校及工、青、妇、残联组织等单位广泛举办群众性体育赛事活动，丰富校园足球、社会足球、职业足球赛事活动，推动普及与提高。</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市文体广电局、市教育局、市总工会、团市委、市妇联、市残联、各乡镇街道办事处、市全民健身联席会议成员单位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2005"/>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5</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立足全局，统筹规划，优化布局，重点建设，梯次推进，加快全民体育健身中心、示范园区、示范基地、示范场馆和体育特色小镇、体育公园建设，优化全民健身发展区域</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形成全民健身示范区、示范点、集聚区、功能区和健身休闲产业带。</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w:t>
            </w:r>
            <w:proofErr w:type="gramStart"/>
            <w:r>
              <w:rPr>
                <w:rFonts w:ascii="仿宋_GB2312" w:eastAsia="仿宋_GB2312" w:hAnsi="仿宋_GB2312" w:cs="仿宋_GB2312" w:hint="eastAsia"/>
                <w:sz w:val="24"/>
                <w:szCs w:val="24"/>
              </w:rPr>
              <w:t>市发改委</w:t>
            </w:r>
            <w:proofErr w:type="gramEnd"/>
            <w:r>
              <w:rPr>
                <w:rFonts w:ascii="仿宋_GB2312" w:eastAsia="仿宋_GB2312" w:hAnsi="仿宋_GB2312" w:cs="仿宋_GB2312" w:hint="eastAsia"/>
                <w:sz w:val="24"/>
                <w:szCs w:val="24"/>
              </w:rPr>
              <w:t>、市财政局、各乡镇街道办事处</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left"/>
              <w:rPr>
                <w:rFonts w:ascii="仿宋_GB2312" w:eastAsia="仿宋_GB2312" w:hAnsi="仿宋_GB2312" w:cs="仿宋_GB2312" w:hint="eastAsia"/>
                <w:sz w:val="24"/>
                <w:szCs w:val="24"/>
              </w:rPr>
            </w:pPr>
            <w:r>
              <w:rPr>
                <w:rFonts w:ascii="仿宋_GB2312" w:eastAsia="仿宋_GB2312" w:hAnsi="仿宋_GB2312" w:cs="仿宋_GB2312"/>
                <w:sz w:val="24"/>
                <w:szCs w:val="24"/>
              </w:rPr>
              <w:t>2016</w:t>
            </w:r>
            <w:r>
              <w:rPr>
                <w:rFonts w:ascii="仿宋_GB2312" w:eastAsia="仿宋_GB2312" w:hAnsi="仿宋_GB2312" w:cs="仿宋_GB2312" w:hint="eastAsia"/>
                <w:sz w:val="24"/>
                <w:szCs w:val="24"/>
              </w:rPr>
              <w:t>年底前确定“十三五”公共体育设施建设规划，分年度持续实施。</w:t>
            </w:r>
          </w:p>
        </w:tc>
      </w:tr>
      <w:tr w:rsidR="001A7BE1" w:rsidTr="002144A6">
        <w:trPr>
          <w:trHeight w:val="2884"/>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6</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提高各类体育设施的开放率和利用率。重点建设便民利民的非标准足球场地、中小型体育场馆、户外多功能球场、自行车专道、健身步道等场地设施，着力构建体育活动场馆、全民健身中心、乡镇全民健身广场、行政村全民健身站、社区全民健身点（含寺院健身路径）五级全民健身设施网络，新建居住区和社区全民健身设施全覆盖。引导社会力量参与健身休闲设施规划、建设、运营，盘活现有体育场馆资源，打造健身休闲综合服务体。</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w:t>
            </w:r>
            <w:proofErr w:type="gramStart"/>
            <w:r>
              <w:rPr>
                <w:rFonts w:ascii="仿宋_GB2312" w:eastAsia="仿宋_GB2312" w:hAnsi="仿宋_GB2312" w:cs="仿宋_GB2312" w:hint="eastAsia"/>
                <w:sz w:val="24"/>
                <w:szCs w:val="24"/>
              </w:rPr>
              <w:t>市发改委</w:t>
            </w:r>
            <w:proofErr w:type="gramEnd"/>
            <w:r>
              <w:rPr>
                <w:rFonts w:ascii="仿宋_GB2312" w:eastAsia="仿宋_GB2312" w:hAnsi="仿宋_GB2312" w:cs="仿宋_GB2312" w:hint="eastAsia"/>
                <w:sz w:val="24"/>
                <w:szCs w:val="24"/>
              </w:rPr>
              <w:t>、市财政局、市住建局、各乡镇街道办事处、市全民健身联席会议成员单位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1720"/>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7</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积极发展企事业单位、乡镇（街道）、行政村（社区）等基层体育协会，逐步健全以社会体育指导员协会、老年人体育协会、农牧民体育协会为架构，各级单项体育运动协会为纽带，民间体育组织、俱乐部、健身中心、学校社团为根基的社会体育组织体系。</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市文体广电局、市民政局、市教育局、各乡镇街道办事处、市全民健身联席会议成员单位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1798"/>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8</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sz w:val="24"/>
                <w:szCs w:val="24"/>
              </w:rPr>
              <w:t xml:space="preserve"> </w:t>
            </w:r>
            <w:r>
              <w:rPr>
                <w:rFonts w:ascii="仿宋_GB2312" w:eastAsia="仿宋_GB2312" w:hAnsi="仿宋_GB2312" w:cs="仿宋_GB2312" w:hint="eastAsia"/>
                <w:sz w:val="24"/>
                <w:szCs w:val="24"/>
              </w:rPr>
              <w:t>重视发挥网络体育组织和健身领袖的作用。积极开展社会组织等级评估工作，提高体育社会组织承接全民健身服务的能力和质量。各级各类协会社团成为组织引导广大群众科学健身、参与体育活动的主力军。</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市文体广电局、市民政局、市全民健身联席会议成员单位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2016年底前确定“十三五”公共体育设施建设规划，分年度持续实施。</w:t>
            </w:r>
          </w:p>
        </w:tc>
      </w:tr>
      <w:tr w:rsidR="001A7BE1" w:rsidTr="002144A6">
        <w:trPr>
          <w:trHeight w:val="4035"/>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9</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大力发展车上运动、马上运动、路上运动、草上运动，加强对民族民间传统体育项目的挖掘、保护，全面发展射箭运动，开发赛马、赛牦牛、马术、摔跤、锅庄、等民族传统性体育项目，组织足球、游泳、乒乓球、羽毛球、篮球等普及面广的竞技性体育运动项目，支持开展山地、自驾车、自行车骑游等地域性体育项目，配套建设营地、驿站、码头等设施，发展民族民间健身运动。在学校体育课和课外活动中普及民族体育项目，建立少数民族传统体育项目培训基地，命名、扶持一批“少数民族传统体育项目之乡”。发挥民族民间节庆活动和全市重大体育赛事活动的集聚效应和载体作用。</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市文体广电局、市财政局、市教育科技局、市民宗局、团市委、各乡镇街道办事处</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3738"/>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10</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创新健身休闲运动项目推广普及方式，倡导全民健身新时尚。组织实施《国家体育锻炼标准》，完善国民体质监测制度，为群众提供体质测试服务，定期发布国民体质监测报告。积极促进康体结合，推广“运动处方”，发展运动康复，运用竞技体育资源和科技成果服务大众健身。发挥体育锻炼在疾病防治以及促进健康等方面的积极作用，提倡开展健身咨询和调理等服务。依托全民健身活动中心、各类综合性体育中心、医疗机构，构建市县级的国民体质监测与运动健身指导站点、网络系统。鼓励社会资本开办康体、体质测定和运动康复等各类机构。</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市文体广电局、市财政局、市</w:t>
            </w:r>
            <w:proofErr w:type="gramStart"/>
            <w:r>
              <w:rPr>
                <w:rFonts w:ascii="仿宋_GB2312" w:eastAsia="仿宋_GB2312" w:hAnsi="仿宋_GB2312" w:cs="仿宋_GB2312" w:hint="eastAsia"/>
                <w:sz w:val="24"/>
                <w:szCs w:val="24"/>
              </w:rPr>
              <w:t>卫计局</w:t>
            </w:r>
            <w:proofErr w:type="gramEnd"/>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2016年确定《国民体质监测常态化实施方案》持续实施</w:t>
            </w:r>
          </w:p>
        </w:tc>
      </w:tr>
      <w:tr w:rsidR="001A7BE1" w:rsidTr="002144A6">
        <w:trPr>
          <w:trHeight w:val="2299"/>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11</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ind w:firstLineChars="200" w:firstLine="47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深入推动全民健身志愿服务工作，构建以社会体育指导员为主体，以优秀运动员、教练员、学校体育教师、体育专业学生、社会热心人士、体育科技工作者为重要力量的结构合理、覆盖城乡、服务到位的全民健身志愿服务队伍，培育全民健身骨干，扩大竞技体育的群众基础，完善社会体育指导员技术等级制度。   </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市文体广电局、市教育局、各乡镇街道办事处、市全民健身联席会议成员单位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2016年出台《青海省社会体育指导员管理办法》、《全民健身志愿者服务体系建设方案》持续实施</w:t>
            </w:r>
          </w:p>
        </w:tc>
      </w:tr>
      <w:tr w:rsidR="001A7BE1" w:rsidTr="002144A6">
        <w:trPr>
          <w:trHeight w:val="4032"/>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12</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制定全民健身传播行动计划，拓宽渠道、创新方式，充分利用新技术、新方法，推动全民健身生活化，引领全民健身新时尚。积极扶持涉及体育健身消费类型的创业项目，充分利用“互联网＋”、“＋互联网”技术和智能科技，培育健身信息聚合、健身APP、智能健身、健身在线培训教育等新业态，全面打造“智慧体育产业”，努力拓展与体育竞赛</w:t>
            </w:r>
            <w:proofErr w:type="gramStart"/>
            <w:r>
              <w:rPr>
                <w:rFonts w:ascii="仿宋_GB2312" w:eastAsia="仿宋_GB2312" w:hAnsi="仿宋_GB2312" w:cs="仿宋_GB2312" w:hint="eastAsia"/>
                <w:sz w:val="24"/>
                <w:szCs w:val="24"/>
              </w:rPr>
              <w:t>表演业</w:t>
            </w:r>
            <w:proofErr w:type="gramEnd"/>
            <w:r>
              <w:rPr>
                <w:rFonts w:ascii="仿宋_GB2312" w:eastAsia="仿宋_GB2312" w:hAnsi="仿宋_GB2312" w:cs="仿宋_GB2312" w:hint="eastAsia"/>
                <w:sz w:val="24"/>
                <w:szCs w:val="24"/>
              </w:rPr>
              <w:t>相关的体育广告、体育经纪、体育无形资产开发等行业。吸引社会资本对体育服务业的投资，促进体育健身、娱乐等体育服务业的发展。引导高、中、低收入群体合理进行体育消费，满足消费者多元需求。 打通</w:t>
            </w:r>
            <w:proofErr w:type="gramStart"/>
            <w:r>
              <w:rPr>
                <w:rFonts w:ascii="仿宋_GB2312" w:eastAsia="仿宋_GB2312" w:hAnsi="仿宋_GB2312" w:cs="仿宋_GB2312" w:hint="eastAsia"/>
                <w:sz w:val="24"/>
                <w:szCs w:val="24"/>
              </w:rPr>
              <w:t>医</w:t>
            </w:r>
            <w:proofErr w:type="gramEnd"/>
            <w:r>
              <w:rPr>
                <w:rFonts w:ascii="仿宋_GB2312" w:eastAsia="仿宋_GB2312" w:hAnsi="仿宋_GB2312" w:cs="仿宋_GB2312" w:hint="eastAsia"/>
                <w:sz w:val="24"/>
                <w:szCs w:val="24"/>
              </w:rPr>
              <w:t>保卡的健身功能，推行可使用</w:t>
            </w:r>
            <w:proofErr w:type="gramStart"/>
            <w:r>
              <w:rPr>
                <w:rFonts w:ascii="仿宋_GB2312" w:eastAsia="仿宋_GB2312" w:hAnsi="仿宋_GB2312" w:cs="仿宋_GB2312" w:hint="eastAsia"/>
                <w:sz w:val="24"/>
                <w:szCs w:val="24"/>
              </w:rPr>
              <w:t>医</w:t>
            </w:r>
            <w:proofErr w:type="gramEnd"/>
            <w:r>
              <w:rPr>
                <w:rFonts w:ascii="仿宋_GB2312" w:eastAsia="仿宋_GB2312" w:hAnsi="仿宋_GB2312" w:cs="仿宋_GB2312" w:hint="eastAsia"/>
                <w:sz w:val="24"/>
                <w:szCs w:val="24"/>
              </w:rPr>
              <w:t>保</w:t>
            </w:r>
            <w:proofErr w:type="gramStart"/>
            <w:r>
              <w:rPr>
                <w:rFonts w:ascii="仿宋_GB2312" w:eastAsia="仿宋_GB2312" w:hAnsi="仿宋_GB2312" w:cs="仿宋_GB2312" w:hint="eastAsia"/>
                <w:sz w:val="24"/>
                <w:szCs w:val="24"/>
              </w:rPr>
              <w:t>卡个人</w:t>
            </w:r>
            <w:proofErr w:type="gramEnd"/>
            <w:r>
              <w:rPr>
                <w:rFonts w:ascii="仿宋_GB2312" w:eastAsia="仿宋_GB2312" w:hAnsi="仿宋_GB2312" w:cs="仿宋_GB2312" w:hint="eastAsia"/>
                <w:sz w:val="24"/>
                <w:szCs w:val="24"/>
              </w:rPr>
              <w:t>账户余额健身，使</w:t>
            </w:r>
            <w:proofErr w:type="gramStart"/>
            <w:r>
              <w:rPr>
                <w:rFonts w:ascii="仿宋_GB2312" w:eastAsia="仿宋_GB2312" w:hAnsi="仿宋_GB2312" w:cs="仿宋_GB2312" w:hint="eastAsia"/>
                <w:sz w:val="24"/>
                <w:szCs w:val="24"/>
              </w:rPr>
              <w:t>医</w:t>
            </w:r>
            <w:proofErr w:type="gramEnd"/>
            <w:r>
              <w:rPr>
                <w:rFonts w:ascii="仿宋_GB2312" w:eastAsia="仿宋_GB2312" w:hAnsi="仿宋_GB2312" w:cs="仿宋_GB2312" w:hint="eastAsia"/>
                <w:sz w:val="24"/>
                <w:szCs w:val="24"/>
              </w:rPr>
              <w:t>保卡的治病功能前置为防病。</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市文体广电局、市卫计委、市全民健身联席会议成员单位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2590"/>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13</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依托公共体育服务体系，全面推进进城务工人员、学生、老年人、残疾人和矫正人员等重点群体体育健身工作，建立</w:t>
            </w:r>
            <w:proofErr w:type="gramStart"/>
            <w:r>
              <w:rPr>
                <w:rFonts w:ascii="仿宋_GB2312" w:eastAsia="仿宋_GB2312" w:hAnsi="仿宋_GB2312" w:cs="仿宋_GB2312" w:hint="eastAsia"/>
                <w:sz w:val="24"/>
                <w:szCs w:val="24"/>
              </w:rPr>
              <w:t>健全重点</w:t>
            </w:r>
            <w:proofErr w:type="gramEnd"/>
            <w:r>
              <w:rPr>
                <w:rFonts w:ascii="仿宋_GB2312" w:eastAsia="仿宋_GB2312" w:hAnsi="仿宋_GB2312" w:cs="仿宋_GB2312" w:hint="eastAsia"/>
                <w:sz w:val="24"/>
                <w:szCs w:val="24"/>
              </w:rPr>
              <w:t xml:space="preserve">群体体育组织，培养为重点群体服务的体育教师和社会体育指导员，壮大重点群体体育管理人员、技术人员队伍，积极开展科学研究和评估。公共体育设施对重点群体参加体育活动提供便利和优惠，为重点群体做好服务。  </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市文体广电局、市老干局、市残联、市教育局、市</w:t>
            </w:r>
            <w:proofErr w:type="gramStart"/>
            <w:r>
              <w:rPr>
                <w:rFonts w:ascii="仿宋_GB2312" w:eastAsia="仿宋_GB2312" w:hAnsi="仿宋_GB2312" w:cs="仿宋_GB2312" w:hint="eastAsia"/>
                <w:sz w:val="24"/>
                <w:szCs w:val="24"/>
              </w:rPr>
              <w:t>人社局</w:t>
            </w:r>
            <w:proofErr w:type="gramEnd"/>
            <w:r>
              <w:rPr>
                <w:rFonts w:ascii="仿宋_GB2312" w:eastAsia="仿宋_GB2312" w:hAnsi="仿宋_GB2312" w:cs="仿宋_GB2312" w:hint="eastAsia"/>
                <w:sz w:val="24"/>
                <w:szCs w:val="24"/>
              </w:rPr>
              <w:t>、市全民健身联席会议成员单位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ind w:firstLineChars="200" w:firstLine="472"/>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3161"/>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14</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广泛开展“亿万青少年阳光体育”活动，逐步增加中小学体育课时，保证学生每天参加体育锻炼时间不少于1小时，使学生掌握1-2项终身受益的体育技能，养成经常性体育锻炼的习惯。鼓励实施学生课外体育活动计划，大力推动足球、篮球、排球等集体项目。开展赛马、摔跤、拔河等民族特色体育赛事。进一步挖掘整理民族民间体育，充实和丰富体育课程内容。建设常态化的校园体育竞赛机制，建设体育特色学校，鼓励组建学校社团、运动队、俱乐部和兴趣小组。 </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市文体广电局、市总工会、团市委、市教育局、市全民健身联席会议成员单位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ind w:firstLineChars="200" w:firstLine="472"/>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2620"/>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15</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加强体育文化建设，大力宣传中华体育精神和奥林匹克精神，加大对体育多元功能的挖掘与传播。采取“请进来、走出去、沉下去”方式，进一步加大跨区域办赛、跨领域合作、跨行业交流，全面开启</w:t>
            </w:r>
            <w:proofErr w:type="gramStart"/>
            <w:r>
              <w:rPr>
                <w:rFonts w:ascii="仿宋_GB2312" w:eastAsia="仿宋_GB2312" w:hAnsi="仿宋_GB2312" w:cs="仿宋_GB2312" w:hint="eastAsia"/>
                <w:sz w:val="24"/>
                <w:szCs w:val="24"/>
              </w:rPr>
              <w:t>品牌赛事</w:t>
            </w:r>
            <w:proofErr w:type="gramEnd"/>
            <w:r>
              <w:rPr>
                <w:rFonts w:ascii="仿宋_GB2312" w:eastAsia="仿宋_GB2312" w:hAnsi="仿宋_GB2312" w:cs="仿宋_GB2312" w:hint="eastAsia"/>
                <w:sz w:val="24"/>
                <w:szCs w:val="24"/>
              </w:rPr>
              <w:t>为主打的群众体育、竞技体育,体育产业与文化、旅游、商贸、交通、科技等其他领域融合发展。讲好体育故事、展示体育精神,进一步扩大和提升海西体育在全省乃至全国的影响力和知名度。</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市文体广电局、市旅游局、市经信委、市交通局、市教育局市全民健身实施计划联席会议成员单位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1790"/>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16</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建立全民健身联席会议制度，完善实施本区域《全民健身实施计划（2016—2020年）》的领导协调机制。全民健身工作条例纳入我市立法计划，发展规划纳入国民经济和社会发展总体规划以及基本公共服务发展规划，重点工作纳入政府年度民生实事推进和年度目标责任考核指标。各乡镇、街道办事处是发展全民健身事业的责任主体，要将全民健身工作与地方现有的相关政策、目标、任务相对接，推行全民健身工作项目化。 </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市文体广电局、各乡镇街道办事处、市全民健身实施计划联席会议成员单位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2016年底前确定“十三五”公共体育设施建设规划持续实施</w:t>
            </w:r>
          </w:p>
        </w:tc>
      </w:tr>
      <w:tr w:rsidR="001A7BE1" w:rsidTr="002144A6">
        <w:trPr>
          <w:trHeight w:val="2495"/>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17</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创建体育特色城市、特色学校、体育生活化社区（乡镇）和示范村。各级发改、住建、国土部门完善规划与土地政策，将体育设施用地纳入城乡规划、土地利用总体规划和年度用地计划，合理安排体育用地。各级文化、教育、民政、卫生、住建、环保、农林、旅游等部门加大支持力度，构建功能完善的综合性基层公共服务载体，探索建立德令哈市体育统计指标体系。</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市文体广电局、市国土资源局、市教育局、市民政局、市</w:t>
            </w:r>
            <w:proofErr w:type="gramStart"/>
            <w:r>
              <w:rPr>
                <w:rFonts w:ascii="仿宋_GB2312" w:eastAsia="仿宋_GB2312" w:hAnsi="仿宋_GB2312" w:cs="仿宋_GB2312" w:hint="eastAsia"/>
                <w:sz w:val="24"/>
                <w:szCs w:val="24"/>
              </w:rPr>
              <w:t>卫计局</w:t>
            </w:r>
            <w:proofErr w:type="gramEnd"/>
            <w:r>
              <w:rPr>
                <w:rFonts w:ascii="仿宋_GB2312" w:eastAsia="仿宋_GB2312" w:hAnsi="仿宋_GB2312" w:cs="仿宋_GB2312" w:hint="eastAsia"/>
                <w:sz w:val="24"/>
                <w:szCs w:val="24"/>
              </w:rPr>
              <w:t>、市住建局、市环保局、市农牧局、市旅游局、市全民健身实施计划联席会议成员单位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2587"/>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18</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公共财政是全民健身公共服务实现“保基本、保覆盖”的主要资金来源。各乡镇、街道办事处要加大公共体育投入力度，建立有序的增长机制，确保将全民健身经费纳入财政预算，各乡镇、街道办事处每年按人均5元以上安排，对公益性全民健身事业单位和服务机构按照相关政策落实经费保障。</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市财政局、市文体广电局、各乡镇街道办事处</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2882"/>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19</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对符合政府重点支持方向的体育企业、社会组织、体育人才和体育赛事、体育基础设施建设项目、体育竞赛表演项目、体育服务等给予扶持，并加大财政转移支付力度。积极培育和促进体育市场主体发展，支持各乡镇、街道办事处通过特许经营、投资补助、政府购买服务等多种方式，推广和运用政府和社会资本合作模式，积极发挥产业投资基金的作用，吸引社会资本参与体育事业发展。</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市财政局、市文体广电局、各乡镇街道办事处</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2289"/>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完善健身消费政策，提供体育服务的社会组织，经认定取得非营利组织企业所得税免税优惠资格的，依法享受相关优惠政策。对符合税收法律法规规定条件向体育事业的捐赠，按照相关规定在计算应纳税所得额时扣除。全面推进体育彩票管理体制改革，体育彩票公益金严格按照国家规定用于我市体育事业。</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市财政局、市国税局、市地税局、市文体广电局</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2304"/>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21</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加快政府职能转变，进一步推进体育领域改革，做好“接管放服”工作，简化办赛、开馆、设点、创会等程序，逐步实行市场化运营管理，推广运用政府和社会资本合作等模式，促进公共体育服务提供主体和提供方式多元化。推进供给侧改革，盘活全民健身市场，增加有效供给，促进体育消费。</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2292"/>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22</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加强全民健身与精神文明、社区服务、公共文化、健康、卫生、养老、旅游等相关制度建设的统筹协调，制定全民健身公共服务体系建设地方标准和政府购买全民健身公共服务的目录、办法及实施细则。加大学校、企事业单位体育设施节假日向社会开放力度。</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w:t>
            </w:r>
            <w:proofErr w:type="gramStart"/>
            <w:r>
              <w:rPr>
                <w:rFonts w:ascii="仿宋_GB2312" w:eastAsia="仿宋_GB2312" w:hAnsi="仿宋_GB2312" w:cs="仿宋_GB2312" w:hint="eastAsia"/>
                <w:sz w:val="24"/>
                <w:szCs w:val="24"/>
              </w:rPr>
              <w:t>卫计局</w:t>
            </w:r>
            <w:proofErr w:type="gramEnd"/>
            <w:r>
              <w:rPr>
                <w:rFonts w:ascii="仿宋_GB2312" w:eastAsia="仿宋_GB2312" w:hAnsi="仿宋_GB2312" w:cs="仿宋_GB2312" w:hint="eastAsia"/>
                <w:sz w:val="24"/>
                <w:szCs w:val="24"/>
              </w:rPr>
              <w:t>、市民政局、市旅游局、市全民健身联席会议成员单位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4027"/>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23</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支持企业、单位利用原划拨方式取得的存量房产和建设用地兴办体育设施，对符合划拨用地目录的非营利性体育设施项目可继续以划拨方式使用土地。不符合划拨用地目录的经营性体育设施项目，连续经营一年以上的可采取协议出让方式办理用地手续。社会力量兴办的非营利性体育设施用地，可以划拨方式供地。推进金融机构和体育企业开展合作，探索开发适合体育消费需要的金融产品，鼓励保险公司围绕健身休闲等全民健身需求推出多样化保险产品和服务。</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市文体广电局、市国土资源局、市全民健身联席会议成员单位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2600"/>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24</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加强体育组织、体育场馆、体育赛事活动名称、标志等无形资产的开发，强化知识产权对各类体育企业的导向作用，争取赛事举办权、无形资产开发等具备交易条件的资源公平、公正、公开流转，提升无形资产创造、运用、保护和管理水平。</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2837"/>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25</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ind w:firstLineChars="200" w:firstLine="47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加强体育专业管理队伍建设，对执行通过政府购买公共服务的方式向社会免费、低收费开放的公益性体育事业单位，结合实际财力状况，合理增加机构编制，满足开放后工作量增加、现有机构编制不足的工作需求，按照体育职能和编制部门核准的编制数配齐工作人员，充实体育管理人员。</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市文体广电局、市编办</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2903"/>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26</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建立以全民健身管理者、社会体育指导员、全民健身志愿者、体育社会组织带头人等为核心的全民健身人才队伍体系，健全全民健身人才培养计划和体育专业队伍培训基地。加强社区聘用体育专业人才从事群众健身指导工作，鼓励有条件的大专院校开设有关体育专业课程，培养体育方面人才。</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市文体广电局、市</w:t>
            </w:r>
            <w:proofErr w:type="gramStart"/>
            <w:r>
              <w:rPr>
                <w:rFonts w:ascii="仿宋_GB2312" w:eastAsia="仿宋_GB2312" w:hAnsi="仿宋_GB2312" w:cs="仿宋_GB2312" w:hint="eastAsia"/>
                <w:sz w:val="24"/>
                <w:szCs w:val="24"/>
              </w:rPr>
              <w:t>人社局</w:t>
            </w:r>
            <w:proofErr w:type="gramEnd"/>
            <w:r>
              <w:rPr>
                <w:rFonts w:ascii="仿宋_GB2312" w:eastAsia="仿宋_GB2312" w:hAnsi="仿宋_GB2312" w:cs="仿宋_GB2312" w:hint="eastAsia"/>
                <w:sz w:val="24"/>
                <w:szCs w:val="24"/>
              </w:rPr>
              <w:t>、市民政局、市教育局</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持续实施</w:t>
            </w:r>
          </w:p>
        </w:tc>
      </w:tr>
      <w:tr w:rsidR="001A7BE1" w:rsidTr="002144A6">
        <w:trPr>
          <w:trHeight w:val="5765"/>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27</w:t>
            </w: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p w:rsidR="001A7BE1" w:rsidRDefault="001A7BE1" w:rsidP="002144A6">
            <w:pPr>
              <w:spacing w:line="240" w:lineRule="exact"/>
              <w:jc w:val="center"/>
              <w:rPr>
                <w:rFonts w:ascii="仿宋_GB2312" w:eastAsia="仿宋_GB2312" w:hAnsi="仿宋_GB2312" w:cs="仿宋_GB2312" w:hint="eastAsia"/>
                <w:sz w:val="24"/>
                <w:szCs w:val="24"/>
              </w:rPr>
            </w:pP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建立全民健身公共服务绩效评估指标体系，健全并创新督办落实制度和问责机制，完善监督机制。市联席会议将定期开展第三方评估和社会满意度调查，对重点目标和重大项目的实施进度和《实施计划》推进情况进行专项评估，形成媒体等多方的监督反馈机制。定期向社会公开发布评估报告，反映各乡镇、街道办事处和相关部门统筹推进全民健身工作职责落实情况，财政资金保障和绩效情况、基本公共体育服务达标情况以及全民健身公共服务发展水平。市联席会议成员单位要会同有关部门对落实情况进行监督检查和跟踪分析。</w:t>
            </w: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市文体广电局、各乡镇街道办事处、市全民健身联席会议成员单位</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本区域《全民健身实施计划（2016—2020年）》</w:t>
            </w:r>
            <w:smartTag w:uri="urn:schemas-microsoft-com:office:smarttags" w:element="chsdate">
              <w:smartTagPr>
                <w:attr w:name="Year" w:val="2017"/>
                <w:attr w:name="Month" w:val="1"/>
                <w:attr w:name="Day" w:val="10"/>
                <w:attr w:name="IsLunarDate" w:val="False"/>
                <w:attr w:name="IsROCDate" w:val="False"/>
              </w:smartTagPr>
              <w:r>
                <w:rPr>
                  <w:rFonts w:ascii="仿宋_GB2312" w:eastAsia="仿宋_GB2312" w:hAnsi="仿宋_GB2312" w:cs="仿宋_GB2312" w:hint="eastAsia"/>
                  <w:sz w:val="24"/>
                  <w:szCs w:val="24"/>
                </w:rPr>
                <w:t>2017年1月10日</w:t>
              </w:r>
            </w:smartTag>
            <w:r>
              <w:rPr>
                <w:rFonts w:ascii="仿宋_GB2312" w:eastAsia="仿宋_GB2312" w:hAnsi="仿宋_GB2312" w:cs="仿宋_GB2312" w:hint="eastAsia"/>
                <w:sz w:val="24"/>
                <w:szCs w:val="24"/>
              </w:rPr>
              <w:t>发布</w:t>
            </w:r>
          </w:p>
        </w:tc>
      </w:tr>
      <w:tr w:rsidR="001A7BE1" w:rsidTr="002144A6">
        <w:trPr>
          <w:trHeight w:val="1985"/>
        </w:trPr>
        <w:tc>
          <w:tcPr>
            <w:tcW w:w="384"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28</w:t>
            </w:r>
          </w:p>
        </w:tc>
        <w:tc>
          <w:tcPr>
            <w:tcW w:w="2521"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ind w:firstLineChars="200" w:firstLine="472"/>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 xml:space="preserve">  制定本区域《全民健身实施计划（2016—2020年）》，做好督查和评估工作，逐步使全民健身工作制度化、规范化和科学化。</w:t>
            </w:r>
          </w:p>
          <w:p w:rsidR="001A7BE1" w:rsidRPr="0033583F" w:rsidRDefault="001A7BE1" w:rsidP="002144A6">
            <w:pPr>
              <w:spacing w:line="240" w:lineRule="exact"/>
              <w:rPr>
                <w:rFonts w:ascii="仿宋_GB2312" w:eastAsia="仿宋_GB2312" w:hAnsi="仿宋_GB2312" w:cs="仿宋_GB2312" w:hint="eastAsia"/>
                <w:sz w:val="24"/>
                <w:szCs w:val="24"/>
              </w:rPr>
            </w:pPr>
          </w:p>
        </w:tc>
        <w:tc>
          <w:tcPr>
            <w:tcW w:w="820"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各级政府</w:t>
            </w:r>
          </w:p>
        </w:tc>
        <w:tc>
          <w:tcPr>
            <w:tcW w:w="1275" w:type="pct"/>
            <w:tcBorders>
              <w:top w:val="single" w:sz="4" w:space="0" w:color="auto"/>
              <w:left w:val="single" w:sz="4" w:space="0" w:color="auto"/>
              <w:bottom w:val="single" w:sz="4" w:space="0" w:color="auto"/>
              <w:right w:val="single" w:sz="4" w:space="0" w:color="auto"/>
            </w:tcBorders>
            <w:vAlign w:val="center"/>
          </w:tcPr>
          <w:p w:rsidR="001A7BE1" w:rsidRDefault="001A7BE1" w:rsidP="002144A6">
            <w:pPr>
              <w:spacing w:line="24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本区域《全民健身实施计划（2016—2020年）》</w:t>
            </w:r>
            <w:smartTag w:uri="urn:schemas-microsoft-com:office:smarttags" w:element="chsdate">
              <w:smartTagPr>
                <w:attr w:name="Year" w:val="2017"/>
                <w:attr w:name="Month" w:val="1"/>
                <w:attr w:name="Day" w:val="10"/>
                <w:attr w:name="IsLunarDate" w:val="False"/>
                <w:attr w:name="IsROCDate" w:val="False"/>
              </w:smartTagPr>
              <w:r>
                <w:rPr>
                  <w:rFonts w:ascii="仿宋_GB2312" w:eastAsia="仿宋_GB2312" w:hAnsi="仿宋_GB2312" w:cs="仿宋_GB2312" w:hint="eastAsia"/>
                  <w:sz w:val="24"/>
                  <w:szCs w:val="24"/>
                </w:rPr>
                <w:t>2017年1月10日</w:t>
              </w:r>
            </w:smartTag>
            <w:r>
              <w:rPr>
                <w:rFonts w:ascii="仿宋_GB2312" w:eastAsia="仿宋_GB2312" w:hAnsi="仿宋_GB2312" w:cs="仿宋_GB2312" w:hint="eastAsia"/>
                <w:sz w:val="24"/>
                <w:szCs w:val="24"/>
              </w:rPr>
              <w:t>发布</w:t>
            </w:r>
          </w:p>
        </w:tc>
      </w:tr>
    </w:tbl>
    <w:p w:rsidR="001A7BE1" w:rsidRDefault="001A7BE1" w:rsidP="001A7BE1">
      <w:pPr>
        <w:spacing w:line="500" w:lineRule="exact"/>
        <w:jc w:val="center"/>
        <w:rPr>
          <w:rFonts w:ascii="仿宋_GB2312" w:eastAsia="仿宋_GB2312" w:hAnsi="仿宋_GB2312" w:cs="仿宋_GB2312" w:hint="eastAsia"/>
          <w:sz w:val="44"/>
          <w:szCs w:val="44"/>
        </w:rPr>
      </w:pPr>
    </w:p>
    <w:p w:rsidR="001A7BE1" w:rsidRDefault="001A7BE1" w:rsidP="001A7BE1">
      <w:pPr>
        <w:spacing w:line="240" w:lineRule="exact"/>
        <w:ind w:leftChars="250" w:left="1026" w:hangingChars="100" w:hanging="236"/>
        <w:rPr>
          <w:rFonts w:ascii="仿宋_GB2312" w:eastAsia="仿宋_GB2312" w:hAnsi="仿宋_GB2312" w:cs="仿宋_GB2312" w:hint="eastAsia"/>
          <w:sz w:val="24"/>
          <w:szCs w:val="24"/>
        </w:rPr>
      </w:pPr>
    </w:p>
    <w:p w:rsidR="001A7BE1" w:rsidRDefault="001A7BE1" w:rsidP="001A7BE1">
      <w:pPr>
        <w:spacing w:line="240" w:lineRule="exact"/>
        <w:rPr>
          <w:rFonts w:ascii="仿宋_GB2312" w:eastAsia="仿宋_GB2312" w:hAnsi="仿宋_GB2312" w:cs="仿宋_GB2312" w:hint="eastAsia"/>
          <w:sz w:val="24"/>
          <w:szCs w:val="24"/>
        </w:rPr>
      </w:pPr>
    </w:p>
    <w:p w:rsidR="001A7BE1" w:rsidRDefault="001A7BE1" w:rsidP="001A7BE1">
      <w:pPr>
        <w:spacing w:line="240" w:lineRule="exact"/>
        <w:rPr>
          <w:rFonts w:ascii="仿宋_GB2312" w:eastAsia="仿宋_GB2312" w:hAnsi="仿宋_GB2312" w:cs="仿宋_GB2312" w:hint="eastAsia"/>
          <w:sz w:val="24"/>
          <w:szCs w:val="24"/>
        </w:rPr>
      </w:pPr>
    </w:p>
    <w:p w:rsidR="001A7BE1" w:rsidRDefault="001A7BE1" w:rsidP="001A7BE1">
      <w:pPr>
        <w:spacing w:line="240" w:lineRule="exact"/>
        <w:ind w:right="648"/>
        <w:rPr>
          <w:rFonts w:ascii="仿宋_GB2312" w:eastAsia="仿宋_GB2312" w:hAnsi="仿宋_GB2312" w:cs="仿宋_GB2312" w:hint="eastAsia"/>
          <w:sz w:val="24"/>
          <w:szCs w:val="24"/>
        </w:rPr>
      </w:pPr>
    </w:p>
    <w:p w:rsidR="001A7BE1" w:rsidRDefault="001A7BE1" w:rsidP="001A7BE1">
      <w:pPr>
        <w:rPr>
          <w:rFonts w:ascii="仿宋_GB2312" w:eastAsia="仿宋_GB2312" w:hAnsi="仿宋_GB2312" w:cs="仿宋_GB2312" w:hint="eastAsia"/>
          <w:sz w:val="24"/>
          <w:szCs w:val="24"/>
        </w:rPr>
      </w:pPr>
    </w:p>
    <w:p w:rsidR="001A7BE1" w:rsidRPr="0033583F" w:rsidRDefault="001A7BE1" w:rsidP="001A7BE1">
      <w:pPr>
        <w:spacing w:line="576" w:lineRule="exact"/>
        <w:jc w:val="center"/>
        <w:rPr>
          <w:rFonts w:hint="eastAsia"/>
        </w:rPr>
      </w:pPr>
    </w:p>
    <w:p w:rsidR="000B3789" w:rsidRPr="001A7BE1" w:rsidRDefault="000B3789">
      <w:bookmarkStart w:id="0" w:name="_GoBack"/>
      <w:bookmarkEnd w:id="0"/>
    </w:p>
    <w:sectPr w:rsidR="000B3789" w:rsidRPr="001A7BE1" w:rsidSect="0033583F">
      <w:footerReference w:type="even" r:id="rId5"/>
      <w:footerReference w:type="default" r:id="rId6"/>
      <w:pgSz w:w="11906" w:h="16838" w:code="9"/>
      <w:pgMar w:top="2098" w:right="1474" w:bottom="1985" w:left="1588" w:header="851" w:footer="1418" w:gutter="0"/>
      <w:pgNumType w:fmt="numberInDash"/>
      <w:cols w:space="425"/>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黑体">
    <w:altName w:val="SimHei"/>
    <w:panose1 w:val="02010600030101010101"/>
    <w:charset w:val="86"/>
    <w:family w:val="auto"/>
    <w:pitch w:val="variable"/>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3F" w:rsidRPr="0033583F" w:rsidRDefault="001A7BE1" w:rsidP="004C640D">
    <w:pPr>
      <w:pStyle w:val="a3"/>
      <w:framePr w:wrap="around" w:vAnchor="text" w:hAnchor="margin" w:xAlign="right" w:y="1"/>
      <w:rPr>
        <w:rStyle w:val="a4"/>
        <w:rFonts w:ascii="宋体" w:eastAsia="宋体" w:hAnsi="宋体"/>
        <w:sz w:val="28"/>
        <w:szCs w:val="28"/>
      </w:rPr>
    </w:pPr>
    <w:r w:rsidRPr="0033583F">
      <w:rPr>
        <w:rStyle w:val="a4"/>
        <w:rFonts w:ascii="宋体" w:eastAsia="宋体" w:hAnsi="宋体"/>
        <w:sz w:val="28"/>
        <w:szCs w:val="28"/>
      </w:rPr>
      <w:fldChar w:fldCharType="begin"/>
    </w:r>
    <w:r w:rsidRPr="0033583F">
      <w:rPr>
        <w:rStyle w:val="a4"/>
        <w:rFonts w:ascii="宋体" w:eastAsia="宋体" w:hAnsi="宋体"/>
        <w:sz w:val="28"/>
        <w:szCs w:val="28"/>
      </w:rPr>
      <w:instrText xml:space="preserve">PAGE  </w:instrText>
    </w:r>
    <w:r w:rsidRPr="0033583F">
      <w:rPr>
        <w:rStyle w:val="a4"/>
        <w:rFonts w:ascii="宋体" w:eastAsia="宋体" w:hAnsi="宋体"/>
        <w:sz w:val="28"/>
        <w:szCs w:val="28"/>
      </w:rPr>
      <w:fldChar w:fldCharType="separate"/>
    </w:r>
    <w:r>
      <w:rPr>
        <w:rStyle w:val="a4"/>
        <w:rFonts w:ascii="宋体" w:eastAsia="宋体" w:hAnsi="宋体"/>
        <w:noProof/>
        <w:sz w:val="28"/>
        <w:szCs w:val="28"/>
      </w:rPr>
      <w:t>- 10 -</w:t>
    </w:r>
    <w:r w:rsidRPr="0033583F">
      <w:rPr>
        <w:rStyle w:val="a4"/>
        <w:rFonts w:ascii="宋体" w:eastAsia="宋体" w:hAnsi="宋体"/>
        <w:sz w:val="28"/>
        <w:szCs w:val="28"/>
      </w:rPr>
      <w:fldChar w:fldCharType="end"/>
    </w:r>
  </w:p>
  <w:p w:rsidR="005718BD" w:rsidRDefault="001A7BE1" w:rsidP="005718BD">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83F" w:rsidRPr="0033583F" w:rsidRDefault="001A7BE1" w:rsidP="004C640D">
    <w:pPr>
      <w:pStyle w:val="a3"/>
      <w:framePr w:wrap="around" w:vAnchor="text" w:hAnchor="margin" w:xAlign="right" w:y="1"/>
      <w:rPr>
        <w:rStyle w:val="a4"/>
        <w:rFonts w:ascii="宋体" w:eastAsia="宋体" w:hAnsi="宋体"/>
        <w:sz w:val="28"/>
        <w:szCs w:val="28"/>
      </w:rPr>
    </w:pPr>
    <w:r w:rsidRPr="0033583F">
      <w:rPr>
        <w:rStyle w:val="a4"/>
        <w:rFonts w:ascii="宋体" w:eastAsia="宋体" w:hAnsi="宋体"/>
        <w:sz w:val="28"/>
        <w:szCs w:val="28"/>
      </w:rPr>
      <w:fldChar w:fldCharType="begin"/>
    </w:r>
    <w:r w:rsidRPr="0033583F">
      <w:rPr>
        <w:rStyle w:val="a4"/>
        <w:rFonts w:ascii="宋体" w:eastAsia="宋体" w:hAnsi="宋体"/>
        <w:sz w:val="28"/>
        <w:szCs w:val="28"/>
      </w:rPr>
      <w:instrText xml:space="preserve">PAGE  </w:instrText>
    </w:r>
    <w:r w:rsidRPr="0033583F">
      <w:rPr>
        <w:rStyle w:val="a4"/>
        <w:rFonts w:ascii="宋体" w:eastAsia="宋体" w:hAnsi="宋体"/>
        <w:sz w:val="28"/>
        <w:szCs w:val="28"/>
      </w:rPr>
      <w:fldChar w:fldCharType="separate"/>
    </w:r>
    <w:r>
      <w:rPr>
        <w:rStyle w:val="a4"/>
        <w:rFonts w:ascii="宋体" w:eastAsia="宋体" w:hAnsi="宋体"/>
        <w:noProof/>
        <w:sz w:val="28"/>
        <w:szCs w:val="28"/>
      </w:rPr>
      <w:t>- 1 -</w:t>
    </w:r>
    <w:r w:rsidRPr="0033583F">
      <w:rPr>
        <w:rStyle w:val="a4"/>
        <w:rFonts w:ascii="宋体" w:eastAsia="宋体" w:hAnsi="宋体"/>
        <w:sz w:val="28"/>
        <w:szCs w:val="28"/>
      </w:rPr>
      <w:fldChar w:fldCharType="end"/>
    </w:r>
  </w:p>
  <w:p w:rsidR="005718BD" w:rsidRDefault="001A7BE1" w:rsidP="005718BD">
    <w:pPr>
      <w:pStyle w:val="a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BE1"/>
    <w:rsid w:val="000B3789"/>
    <w:rsid w:val="001A7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BE1"/>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A7BE1"/>
    <w:pPr>
      <w:tabs>
        <w:tab w:val="center" w:pos="4153"/>
        <w:tab w:val="right" w:pos="8306"/>
      </w:tabs>
      <w:snapToGrid w:val="0"/>
      <w:jc w:val="left"/>
    </w:pPr>
    <w:rPr>
      <w:sz w:val="18"/>
      <w:szCs w:val="18"/>
    </w:rPr>
  </w:style>
  <w:style w:type="character" w:customStyle="1" w:styleId="Char">
    <w:name w:val="页脚 Char"/>
    <w:basedOn w:val="a0"/>
    <w:link w:val="a3"/>
    <w:rsid w:val="001A7BE1"/>
    <w:rPr>
      <w:rFonts w:ascii="Times New Roman" w:eastAsia="方正仿宋简体" w:hAnsi="Times New Roman" w:cs="Times New Roman"/>
      <w:sz w:val="18"/>
      <w:szCs w:val="18"/>
    </w:rPr>
  </w:style>
  <w:style w:type="character" w:styleId="a4">
    <w:name w:val="page number"/>
    <w:basedOn w:val="a0"/>
    <w:rsid w:val="001A7B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BE1"/>
    <w:pPr>
      <w:widowControl w:val="0"/>
      <w:jc w:val="both"/>
    </w:pPr>
    <w:rPr>
      <w:rFonts w:ascii="Times New Roman" w:eastAsia="方正仿宋简体"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1A7BE1"/>
    <w:pPr>
      <w:tabs>
        <w:tab w:val="center" w:pos="4153"/>
        <w:tab w:val="right" w:pos="8306"/>
      </w:tabs>
      <w:snapToGrid w:val="0"/>
      <w:jc w:val="left"/>
    </w:pPr>
    <w:rPr>
      <w:sz w:val="18"/>
      <w:szCs w:val="18"/>
    </w:rPr>
  </w:style>
  <w:style w:type="character" w:customStyle="1" w:styleId="Char">
    <w:name w:val="页脚 Char"/>
    <w:basedOn w:val="a0"/>
    <w:link w:val="a3"/>
    <w:rsid w:val="001A7BE1"/>
    <w:rPr>
      <w:rFonts w:ascii="Times New Roman" w:eastAsia="方正仿宋简体" w:hAnsi="Times New Roman" w:cs="Times New Roman"/>
      <w:sz w:val="18"/>
      <w:szCs w:val="18"/>
    </w:rPr>
  </w:style>
  <w:style w:type="character" w:styleId="a4">
    <w:name w:val="page number"/>
    <w:basedOn w:val="a0"/>
    <w:rsid w:val="001A7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900</Words>
  <Characters>5132</Characters>
  <Application>Microsoft Office Word</Application>
  <DocSecurity>0</DocSecurity>
  <Lines>42</Lines>
  <Paragraphs>12</Paragraphs>
  <ScaleCrop>false</ScaleCrop>
  <Company>china</Company>
  <LinksUpToDate>false</LinksUpToDate>
  <CharactersWithSpaces>6020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2018-06-04T01:10:00Z</dcterms:created>
  <dcterms:modified xsi:type="dcterms:W3CDTF">2018-06-04T01:11:00Z</dcterms:modified>
</cp:coreProperties>
</file>